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8E727" w14:textId="69276FB6" w:rsidR="00715FAB" w:rsidRDefault="00FB1B9C" w:rsidP="0025101F">
      <w:pPr>
        <w:jc w:val="right"/>
      </w:pPr>
      <w:r>
        <w:t>[</w:t>
      </w:r>
      <w:r w:rsidRPr="0025101F">
        <w:rPr>
          <w:highlight w:val="lightGray"/>
        </w:rPr>
        <w:t>miejscowość</w:t>
      </w:r>
      <w:r w:rsidR="00C23B1C">
        <w:rPr>
          <w:highlight w:val="lightGray"/>
        </w:rPr>
        <w:t>,</w:t>
      </w:r>
      <w:r w:rsidR="00C23B1C" w:rsidRPr="00C23B1C">
        <w:rPr>
          <w:highlight w:val="lightGray"/>
        </w:rPr>
        <w:t xml:space="preserve"> </w:t>
      </w:r>
      <w:r w:rsidR="00C23B1C" w:rsidRPr="0025101F">
        <w:rPr>
          <w:highlight w:val="lightGray"/>
        </w:rPr>
        <w:t>data</w:t>
      </w:r>
      <w:bookmarkStart w:id="0" w:name="_GoBack"/>
      <w:bookmarkEnd w:id="0"/>
      <w:r>
        <w:t>]</w:t>
      </w:r>
    </w:p>
    <w:p w14:paraId="7C789E94" w14:textId="77777777" w:rsidR="00FB1B9C" w:rsidRDefault="00FB1B9C">
      <w:r>
        <w:t>[</w:t>
      </w:r>
      <w:r w:rsidRPr="0025101F">
        <w:rPr>
          <w:highlight w:val="lightGray"/>
        </w:rPr>
        <w:t>wnioskodawca</w:t>
      </w:r>
      <w:r>
        <w:t>]</w:t>
      </w:r>
    </w:p>
    <w:p w14:paraId="3A6884AF" w14:textId="77777777" w:rsidR="00FB1B9C" w:rsidRDefault="00FB1B9C" w:rsidP="0025101F">
      <w:pPr>
        <w:ind w:left="4678"/>
      </w:pPr>
    </w:p>
    <w:p w14:paraId="56B6FD39" w14:textId="77777777" w:rsidR="00FB1B9C" w:rsidRPr="00FB1B9C" w:rsidRDefault="00FB1B9C" w:rsidP="0025101F">
      <w:pPr>
        <w:spacing w:after="0"/>
        <w:ind w:left="4678"/>
        <w:rPr>
          <w:b/>
        </w:rPr>
      </w:pPr>
      <w:r w:rsidRPr="00FB1B9C">
        <w:rPr>
          <w:b/>
        </w:rPr>
        <w:t>Bankowy Fundusz Gwarancyjny</w:t>
      </w:r>
    </w:p>
    <w:p w14:paraId="451D50C5" w14:textId="77777777" w:rsidR="00FB1B9C" w:rsidRPr="00FB1B9C" w:rsidRDefault="00FB1B9C" w:rsidP="0025101F">
      <w:pPr>
        <w:spacing w:after="0"/>
        <w:ind w:left="4678"/>
        <w:rPr>
          <w:b/>
        </w:rPr>
      </w:pPr>
      <w:r w:rsidRPr="00FB1B9C">
        <w:rPr>
          <w:b/>
        </w:rPr>
        <w:t>ul. ks. Ignacego Jana Skorupki 4</w:t>
      </w:r>
    </w:p>
    <w:p w14:paraId="10B05FF9" w14:textId="77777777" w:rsidR="00FB1B9C" w:rsidRPr="0025101F" w:rsidRDefault="00FB1B9C" w:rsidP="0025101F">
      <w:pPr>
        <w:ind w:left="4678"/>
        <w:rPr>
          <w:b/>
        </w:rPr>
      </w:pPr>
      <w:r w:rsidRPr="00FB1B9C">
        <w:rPr>
          <w:b/>
        </w:rPr>
        <w:t>00-546 Warszawa</w:t>
      </w:r>
    </w:p>
    <w:p w14:paraId="595E9518" w14:textId="77777777" w:rsidR="00DC3302" w:rsidRDefault="00DC3302"/>
    <w:p w14:paraId="28982B38" w14:textId="77777777" w:rsidR="002D52D8" w:rsidRDefault="00FB1B9C" w:rsidP="00FB1B9C">
      <w:pPr>
        <w:jc w:val="center"/>
        <w:rPr>
          <w:b/>
        </w:rPr>
      </w:pPr>
      <w:r w:rsidRPr="00FB1B9C">
        <w:rPr>
          <w:b/>
        </w:rPr>
        <w:t xml:space="preserve">WNIOSEK </w:t>
      </w:r>
    </w:p>
    <w:p w14:paraId="53E5B9D9" w14:textId="35340B09" w:rsidR="002D52D8" w:rsidRDefault="00FB1B9C" w:rsidP="00FB1B9C">
      <w:pPr>
        <w:jc w:val="center"/>
        <w:rPr>
          <w:b/>
        </w:rPr>
      </w:pPr>
      <w:r w:rsidRPr="00FB1B9C">
        <w:rPr>
          <w:b/>
        </w:rPr>
        <w:t xml:space="preserve">O WYDANIE </w:t>
      </w:r>
      <w:r w:rsidR="002D52D8">
        <w:rPr>
          <w:b/>
        </w:rPr>
        <w:t xml:space="preserve">UPRZEDNIEGO </w:t>
      </w:r>
      <w:r w:rsidRPr="00FB1B9C">
        <w:rPr>
          <w:b/>
        </w:rPr>
        <w:t>ZEZWOLENIA NA WEZWANIE DO SPRZEDAŻY, WYKUP, SPŁATĘ LUB ODKUP PRZEZ INSTYTUCJĘ INSTRUMENTÓW ZOBOWIĄZAŃ KWALIFIKOWALNYCH</w:t>
      </w:r>
    </w:p>
    <w:p w14:paraId="7AB73837" w14:textId="17DBB4A8" w:rsidR="002D52D8" w:rsidRDefault="00030833" w:rsidP="00FB1B9C">
      <w:pPr>
        <w:jc w:val="center"/>
        <w:rPr>
          <w:b/>
        </w:rPr>
      </w:pPr>
      <w:r>
        <w:rPr>
          <w:b/>
        </w:rPr>
        <w:t>/</w:t>
      </w:r>
      <w:r w:rsidR="002D52D8">
        <w:rPr>
          <w:b/>
        </w:rPr>
        <w:t>ALBO</w:t>
      </w:r>
      <w:r>
        <w:rPr>
          <w:b/>
        </w:rPr>
        <w:t>/</w:t>
      </w:r>
    </w:p>
    <w:p w14:paraId="1C8A980E" w14:textId="7BE05F04" w:rsidR="00FB1B9C" w:rsidRDefault="002D52D8" w:rsidP="00FB1B9C">
      <w:pPr>
        <w:jc w:val="center"/>
        <w:rPr>
          <w:b/>
        </w:rPr>
      </w:pPr>
      <w:r>
        <w:rPr>
          <w:b/>
        </w:rPr>
        <w:t xml:space="preserve">O UDZIELENIE UPRZEDNIEGO </w:t>
      </w:r>
      <w:r w:rsidR="008458D2">
        <w:rPr>
          <w:b/>
        </w:rPr>
        <w:t>ZEZWOLENIA O</w:t>
      </w:r>
      <w:r>
        <w:rPr>
          <w:b/>
        </w:rPr>
        <w:t>GÓLNEGO</w:t>
      </w:r>
      <w:r w:rsidRPr="002D52D8">
        <w:rPr>
          <w:b/>
        </w:rPr>
        <w:t xml:space="preserve"> NA WEZWANIE DO SPRZEDAŻY, WYKUP, SPŁATĘ LUB ODKUP PRZEZ INSTYTUCJĘ INSTRUMENTÓW ZOBOWIĄZAŃ KWALIFIKOWALNYCH</w:t>
      </w:r>
      <w:r w:rsidR="00FB1B9C">
        <w:rPr>
          <w:rStyle w:val="Odwoanieprzypisudolnego"/>
          <w:b/>
        </w:rPr>
        <w:footnoteReference w:id="1"/>
      </w:r>
    </w:p>
    <w:p w14:paraId="0BF81EDD" w14:textId="77777777" w:rsidR="00DC3302" w:rsidRPr="00FB1B9C" w:rsidRDefault="00DC3302" w:rsidP="00FB1B9C">
      <w:pPr>
        <w:jc w:val="center"/>
        <w:rPr>
          <w:b/>
        </w:rPr>
      </w:pPr>
    </w:p>
    <w:p w14:paraId="48C4CC97" w14:textId="5ADE452F" w:rsidR="00FB1B9C" w:rsidRDefault="009D45DD" w:rsidP="00FB1B9C">
      <w:pPr>
        <w:jc w:val="both"/>
      </w:pPr>
      <w:r>
        <w:lastRenderedPageBreak/>
        <w:t>N</w:t>
      </w:r>
      <w:r w:rsidR="00FB1B9C">
        <w:t>a podstawie art. 78a ust. 1</w:t>
      </w:r>
      <w:r w:rsidR="0025101F">
        <w:t xml:space="preserve"> </w:t>
      </w:r>
      <w:r w:rsidR="00FB1B9C">
        <w:t xml:space="preserve">rozporządzenia </w:t>
      </w:r>
      <w:r w:rsidR="00864785">
        <w:t>nr 575/2013</w:t>
      </w:r>
      <w:r w:rsidR="00864785">
        <w:rPr>
          <w:rStyle w:val="Odwoanieprzypisudolnego"/>
        </w:rPr>
        <w:footnoteReference w:id="2"/>
      </w:r>
      <w:r w:rsidR="00864785">
        <w:t xml:space="preserve"> </w:t>
      </w:r>
      <w:r w:rsidR="00FB1B9C">
        <w:t>(dalej jako: „CRR”),</w:t>
      </w:r>
      <w:r w:rsidR="002A7593">
        <w:t xml:space="preserve"> w brzmieniu nadanym na mocy</w:t>
      </w:r>
      <w:r w:rsidR="00D947BC">
        <w:t xml:space="preserve"> CRR2</w:t>
      </w:r>
      <w:r w:rsidR="00D947BC">
        <w:rPr>
          <w:rStyle w:val="Odwoanieprzypisudolnego"/>
        </w:rPr>
        <w:footnoteReference w:id="3"/>
      </w:r>
      <w:r w:rsidR="002A7593">
        <w:t xml:space="preserve"> </w:t>
      </w:r>
    </w:p>
    <w:p w14:paraId="40E9A18F" w14:textId="77777777" w:rsidR="00FB1B9C" w:rsidRDefault="00FB1B9C" w:rsidP="00FB1B9C"/>
    <w:p w14:paraId="5DE7C995" w14:textId="77777777" w:rsidR="00FB1B9C" w:rsidRDefault="00FB1B9C" w:rsidP="00FB1B9C">
      <w:pPr>
        <w:jc w:val="both"/>
      </w:pPr>
      <w:r>
        <w:t>[</w:t>
      </w:r>
      <w:r w:rsidRPr="0025101F">
        <w:rPr>
          <w:highlight w:val="lightGray"/>
        </w:rPr>
        <w:t>nazwa instytucji</w:t>
      </w:r>
      <w:r>
        <w:t>] (dalej jako: „Instytucja”) zwraca się</w:t>
      </w:r>
      <w:r w:rsidR="00DC3302">
        <w:t xml:space="preserve"> z wnioskiem o</w:t>
      </w:r>
      <w:r>
        <w:t xml:space="preserve">: </w:t>
      </w:r>
    </w:p>
    <w:p w14:paraId="338E0DDC" w14:textId="777E206C" w:rsidR="001B2692" w:rsidRDefault="008458D2" w:rsidP="001B2692">
      <w:pPr>
        <w:pStyle w:val="Akapitzlist"/>
        <w:numPr>
          <w:ilvl w:val="0"/>
          <w:numId w:val="1"/>
        </w:numPr>
        <w:jc w:val="both"/>
      </w:pPr>
      <w:r>
        <w:t>W</w:t>
      </w:r>
      <w:r w:rsidR="00FB1B9C">
        <w:t>ydanie</w:t>
      </w:r>
      <w:r>
        <w:t xml:space="preserve"> na podstawie art. 78a ust. 1 akapit 1 CRR</w:t>
      </w:r>
      <w:r w:rsidR="00FB1B9C">
        <w:t xml:space="preserve"> </w:t>
      </w:r>
      <w:r w:rsidR="00BC4B94">
        <w:t xml:space="preserve">uprzedniego </w:t>
      </w:r>
      <w:r w:rsidR="00FB1B9C">
        <w:t>zezwolenia na wezwanie do sprzedaży/wykup/spłatę/odkup</w:t>
      </w:r>
      <w:r w:rsidR="0025101F">
        <w:rPr>
          <w:rStyle w:val="Odwoanieprzypisudolnego"/>
        </w:rPr>
        <w:footnoteReference w:id="4"/>
      </w:r>
      <w:r w:rsidR="00FB1B9C">
        <w:t xml:space="preserve"> przez Instytucję następujących instrumen</w:t>
      </w:r>
      <w:r w:rsidR="0025101F">
        <w:t xml:space="preserve">tów zobowiązań kwalifikowalnych: </w:t>
      </w:r>
      <w:r w:rsidR="0025101F" w:rsidRPr="0025101F">
        <w:rPr>
          <w:highlight w:val="lightGray"/>
        </w:rPr>
        <w:t>……….</w:t>
      </w:r>
      <w:r w:rsidR="0025101F">
        <w:t xml:space="preserve"> w okresie </w:t>
      </w:r>
      <w:r w:rsidR="0025101F" w:rsidRPr="0025101F">
        <w:rPr>
          <w:highlight w:val="lightGray"/>
        </w:rPr>
        <w:t>………</w:t>
      </w:r>
      <w:r w:rsidR="00D416A3">
        <w:rPr>
          <w:rStyle w:val="Odwoanieprzypisudolnego"/>
          <w:highlight w:val="lightGray"/>
        </w:rPr>
        <w:footnoteReference w:id="5"/>
      </w:r>
      <w:r w:rsidR="0025101F">
        <w:t xml:space="preserve"> </w:t>
      </w:r>
    </w:p>
    <w:p w14:paraId="202D42C8" w14:textId="5F67CF44" w:rsidR="00FB1B9C" w:rsidRDefault="0025101F" w:rsidP="005244A6">
      <w:pPr>
        <w:jc w:val="center"/>
      </w:pPr>
      <w:r>
        <w:t>/albo/</w:t>
      </w:r>
      <w:r>
        <w:rPr>
          <w:rStyle w:val="Odwoanieprzypisudolnego"/>
        </w:rPr>
        <w:footnoteReference w:id="6"/>
      </w:r>
    </w:p>
    <w:p w14:paraId="0367AA7B" w14:textId="57B9FF5B" w:rsidR="00DC3302" w:rsidRDefault="00DC3302" w:rsidP="0025101F">
      <w:pPr>
        <w:pStyle w:val="Akapitzlist"/>
        <w:numPr>
          <w:ilvl w:val="0"/>
          <w:numId w:val="1"/>
        </w:numPr>
        <w:jc w:val="both"/>
      </w:pPr>
      <w:r>
        <w:t xml:space="preserve">udzielenie </w:t>
      </w:r>
      <w:r w:rsidR="008458D2">
        <w:t xml:space="preserve">na podstawie art. 78a ust. 1 akapit 2 CRR </w:t>
      </w:r>
      <w:r>
        <w:t xml:space="preserve">uprzedniego zezwolenia </w:t>
      </w:r>
      <w:r w:rsidR="00BC4B94">
        <w:t xml:space="preserve">ogólnego </w:t>
      </w:r>
      <w:r>
        <w:t xml:space="preserve">na </w:t>
      </w:r>
      <w:r w:rsidRPr="00DC3302">
        <w:t>wezwanie do sprzedaży</w:t>
      </w:r>
      <w:r w:rsidR="00BC4B94">
        <w:t>/</w:t>
      </w:r>
      <w:r w:rsidRPr="00DC3302">
        <w:t>wykup</w:t>
      </w:r>
      <w:r w:rsidR="00BC4B94">
        <w:t>/</w:t>
      </w:r>
      <w:r w:rsidRPr="00DC3302">
        <w:t>spłatę</w:t>
      </w:r>
      <w:r w:rsidR="00BC4B94">
        <w:t>/</w:t>
      </w:r>
      <w:r w:rsidRPr="00DC3302">
        <w:t>odkup instrumentów zobowiązań kwalifikowalnych</w:t>
      </w:r>
      <w:r w:rsidR="0025101F">
        <w:t xml:space="preserve"> na kwotę </w:t>
      </w:r>
      <w:r w:rsidR="0025101F" w:rsidRPr="0025101F">
        <w:rPr>
          <w:highlight w:val="lightGray"/>
        </w:rPr>
        <w:t>……….,</w:t>
      </w:r>
      <w:r w:rsidR="0025101F">
        <w:t xml:space="preserve"> stanowiącą </w:t>
      </w:r>
      <w:r w:rsidR="0025101F" w:rsidRPr="0025101F">
        <w:rPr>
          <w:highlight w:val="lightGray"/>
        </w:rPr>
        <w:t>…………</w:t>
      </w:r>
      <w:r w:rsidR="0025101F">
        <w:t xml:space="preserve"> ogólnej kwoty instrumentów zobowiązań kwalifikowalnych, na okres </w:t>
      </w:r>
      <w:r w:rsidR="0025101F" w:rsidRPr="0025101F">
        <w:rPr>
          <w:highlight w:val="lightGray"/>
        </w:rPr>
        <w:t>……..</w:t>
      </w:r>
      <w:r w:rsidR="00CB5544">
        <w:rPr>
          <w:rStyle w:val="Odwoanieprzypisudolnego"/>
          <w:highlight w:val="lightGray"/>
        </w:rPr>
        <w:footnoteReference w:id="7"/>
      </w:r>
      <w:r w:rsidR="0025101F">
        <w:t>.</w:t>
      </w:r>
    </w:p>
    <w:p w14:paraId="3B03F086" w14:textId="620D45DA" w:rsidR="00DC3302" w:rsidRDefault="00DC3302"/>
    <w:p w14:paraId="212F153B" w14:textId="77777777" w:rsidR="00FB1B9C" w:rsidRPr="0025101F" w:rsidRDefault="00FB1B9C" w:rsidP="0025101F">
      <w:pPr>
        <w:jc w:val="center"/>
        <w:rPr>
          <w:b/>
        </w:rPr>
      </w:pPr>
      <w:r w:rsidRPr="0025101F">
        <w:rPr>
          <w:b/>
        </w:rPr>
        <w:lastRenderedPageBreak/>
        <w:t>UZASADNIENIE</w:t>
      </w:r>
    </w:p>
    <w:p w14:paraId="264E3607" w14:textId="77777777" w:rsidR="0025101F" w:rsidRPr="00060EF5" w:rsidRDefault="0025101F"/>
    <w:p w14:paraId="1698E30F" w14:textId="767194A7" w:rsidR="00FB1B9C" w:rsidRPr="00060EF5" w:rsidRDefault="0056201B" w:rsidP="00030833">
      <w:pPr>
        <w:jc w:val="both"/>
      </w:pPr>
      <w:r w:rsidRPr="00030833">
        <w:rPr>
          <w:i/>
        </w:rPr>
        <w:t xml:space="preserve">/wnioskodawca w uzasadnieniu wniosku powinien zamieścić </w:t>
      </w:r>
      <w:r>
        <w:rPr>
          <w:i/>
        </w:rPr>
        <w:t xml:space="preserve">w szczególności </w:t>
      </w:r>
      <w:r w:rsidRPr="00030833">
        <w:rPr>
          <w:i/>
        </w:rPr>
        <w:t>poniżej wskazane informacje/</w:t>
      </w:r>
    </w:p>
    <w:p w14:paraId="024B6A87" w14:textId="7E60BE34" w:rsidR="0025101F" w:rsidRPr="003F5BE4" w:rsidRDefault="0025101F" w:rsidP="0025101F">
      <w:pPr>
        <w:jc w:val="both"/>
        <w:rPr>
          <w:rFonts w:cstheme="minorHAnsi"/>
        </w:rPr>
      </w:pPr>
      <w:r w:rsidRPr="003F5BE4">
        <w:rPr>
          <w:rFonts w:cstheme="minorHAnsi"/>
        </w:rPr>
        <w:t xml:space="preserve">1) </w:t>
      </w:r>
      <w:r w:rsidR="0056201B">
        <w:rPr>
          <w:rFonts w:cstheme="minorHAnsi"/>
        </w:rPr>
        <w:t>wskazanie</w:t>
      </w:r>
      <w:r w:rsidRPr="003F5BE4">
        <w:rPr>
          <w:rFonts w:cstheme="minorHAnsi"/>
        </w:rPr>
        <w:t xml:space="preserve"> powodów </w:t>
      </w:r>
      <w:r>
        <w:rPr>
          <w:rFonts w:cstheme="minorHAnsi"/>
        </w:rPr>
        <w:t>podjęcia</w:t>
      </w:r>
      <w:r w:rsidRPr="003F5BE4">
        <w:rPr>
          <w:rFonts w:cstheme="minorHAnsi"/>
        </w:rPr>
        <w:t xml:space="preserve"> któregokolwiek z działań, o których mowa w art. 77 ust. 2 CRR (</w:t>
      </w:r>
      <w:r>
        <w:rPr>
          <w:rFonts w:cstheme="minorHAnsi"/>
        </w:rPr>
        <w:t>wezwania</w:t>
      </w:r>
      <w:r w:rsidRPr="003F5BE4">
        <w:rPr>
          <w:rFonts w:cstheme="minorHAnsi"/>
        </w:rPr>
        <w:t xml:space="preserve"> do sprzedaży</w:t>
      </w:r>
      <w:r w:rsidR="00060EF5">
        <w:rPr>
          <w:rFonts w:cstheme="minorHAnsi"/>
        </w:rPr>
        <w:t>/</w:t>
      </w:r>
      <w:r w:rsidRPr="003F5BE4">
        <w:rPr>
          <w:rFonts w:cstheme="minorHAnsi"/>
        </w:rPr>
        <w:t>wykup</w:t>
      </w:r>
      <w:r w:rsidR="00ED657A">
        <w:rPr>
          <w:rFonts w:cstheme="minorHAnsi"/>
        </w:rPr>
        <w:t>u</w:t>
      </w:r>
      <w:r w:rsidR="00060EF5">
        <w:rPr>
          <w:rFonts w:cstheme="minorHAnsi"/>
        </w:rPr>
        <w:t>/</w:t>
      </w:r>
      <w:r w:rsidRPr="003F5BE4">
        <w:rPr>
          <w:rFonts w:cstheme="minorHAnsi"/>
        </w:rPr>
        <w:t>spłat</w:t>
      </w:r>
      <w:r w:rsidR="00ED657A">
        <w:rPr>
          <w:rFonts w:cstheme="minorHAnsi"/>
        </w:rPr>
        <w:t>y</w:t>
      </w:r>
      <w:r w:rsidR="00060EF5">
        <w:rPr>
          <w:rFonts w:cstheme="minorHAnsi"/>
        </w:rPr>
        <w:t>/</w:t>
      </w:r>
      <w:r w:rsidRPr="003F5BE4">
        <w:rPr>
          <w:rFonts w:cstheme="minorHAnsi"/>
        </w:rPr>
        <w:t>odkup</w:t>
      </w:r>
      <w:r w:rsidR="00ED657A">
        <w:rPr>
          <w:rFonts w:cstheme="minorHAnsi"/>
        </w:rPr>
        <w:t>u</w:t>
      </w:r>
      <w:r w:rsidRPr="003F5BE4">
        <w:rPr>
          <w:rFonts w:cstheme="minorHAnsi"/>
        </w:rPr>
        <w:t xml:space="preserve"> instrumentów zobowiązań kwalifikowalnych</w:t>
      </w:r>
      <w:r w:rsidR="007621CB">
        <w:rPr>
          <w:rFonts w:cstheme="minorHAnsi"/>
        </w:rPr>
        <w:t xml:space="preserve"> </w:t>
      </w:r>
      <w:r w:rsidRPr="003F5BE4">
        <w:rPr>
          <w:rFonts w:cstheme="minorHAnsi"/>
        </w:rPr>
        <w:t>przed upływem ich umownego terminu zapadalności)</w:t>
      </w:r>
      <w:r w:rsidR="0056201B">
        <w:rPr>
          <w:rFonts w:cstheme="minorHAnsi"/>
        </w:rPr>
        <w:t>;</w:t>
      </w:r>
    </w:p>
    <w:p w14:paraId="2EC492A0" w14:textId="753E5EE1" w:rsidR="008D3064" w:rsidRDefault="00B60C2E" w:rsidP="0025101F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25101F" w:rsidRPr="003F5BE4">
        <w:rPr>
          <w:rFonts w:cstheme="minorHAnsi"/>
        </w:rPr>
        <w:t xml:space="preserve">) </w:t>
      </w:r>
      <w:r w:rsidR="005D166D">
        <w:rPr>
          <w:rFonts w:cstheme="minorHAnsi"/>
        </w:rPr>
        <w:t>projekcję</w:t>
      </w:r>
      <w:r w:rsidR="008D3064">
        <w:rPr>
          <w:rFonts w:cstheme="minorHAnsi"/>
        </w:rPr>
        <w:t xml:space="preserve"> (najlepiej w formie tabelarycznej)</w:t>
      </w:r>
      <w:r w:rsidR="005D166D">
        <w:rPr>
          <w:rFonts w:cstheme="minorHAnsi"/>
        </w:rPr>
        <w:t xml:space="preserve"> na okres do </w:t>
      </w:r>
      <w:r w:rsidR="00060EF5">
        <w:rPr>
          <w:rFonts w:cstheme="minorHAnsi"/>
        </w:rPr>
        <w:t xml:space="preserve">co </w:t>
      </w:r>
      <w:r w:rsidR="005D166D">
        <w:rPr>
          <w:rFonts w:cstheme="minorHAnsi"/>
        </w:rPr>
        <w:t xml:space="preserve">najmniej 3 lat, zawierającą informacje co najmniej w zakresie </w:t>
      </w:r>
      <w:r w:rsidR="0025101F" w:rsidRPr="003F5BE4">
        <w:rPr>
          <w:rFonts w:cstheme="minorHAnsi"/>
        </w:rPr>
        <w:t xml:space="preserve">poziomu i struktury funduszy własnych i zobowiązań kwalifikowalnych utrzymywanych w celu </w:t>
      </w:r>
      <w:r w:rsidR="007621CB">
        <w:rPr>
          <w:rFonts w:cstheme="minorHAnsi"/>
        </w:rPr>
        <w:t>spełnienia</w:t>
      </w:r>
      <w:r w:rsidR="007621CB" w:rsidRPr="003F5BE4">
        <w:rPr>
          <w:rFonts w:cstheme="minorHAnsi"/>
        </w:rPr>
        <w:t xml:space="preserve"> </w:t>
      </w:r>
      <w:r w:rsidR="0025101F">
        <w:rPr>
          <w:rFonts w:cstheme="minorHAnsi"/>
        </w:rPr>
        <w:t>MREL oraz wymogu połączonego bufora</w:t>
      </w:r>
      <w:r w:rsidR="0025101F" w:rsidRPr="003F5BE4">
        <w:rPr>
          <w:rFonts w:cstheme="minorHAnsi"/>
        </w:rPr>
        <w:t xml:space="preserve">, przed i po </w:t>
      </w:r>
      <w:r w:rsidR="00060EF5">
        <w:rPr>
          <w:rFonts w:cstheme="minorHAnsi"/>
        </w:rPr>
        <w:t>podjęciu</w:t>
      </w:r>
      <w:r w:rsidR="00060EF5" w:rsidRPr="003F5BE4">
        <w:rPr>
          <w:rFonts w:cstheme="minorHAnsi"/>
        </w:rPr>
        <w:t xml:space="preserve"> </w:t>
      </w:r>
      <w:r w:rsidR="0025101F" w:rsidRPr="003F5BE4">
        <w:rPr>
          <w:rFonts w:cstheme="minorHAnsi"/>
        </w:rPr>
        <w:t>działania</w:t>
      </w:r>
      <w:r w:rsidR="0025101F">
        <w:rPr>
          <w:rFonts w:cstheme="minorHAnsi"/>
        </w:rPr>
        <w:t>, określonego</w:t>
      </w:r>
      <w:r w:rsidR="0025101F" w:rsidRPr="003F5BE4">
        <w:rPr>
          <w:rFonts w:cstheme="minorHAnsi"/>
        </w:rPr>
        <w:t xml:space="preserve"> w art. 77 ust. 2 CRR</w:t>
      </w:r>
      <w:r w:rsidR="0025101F">
        <w:rPr>
          <w:rFonts w:cstheme="minorHAnsi"/>
        </w:rPr>
        <w:t xml:space="preserve"> (wezwania</w:t>
      </w:r>
      <w:r w:rsidR="0025101F" w:rsidRPr="003F5BE4">
        <w:rPr>
          <w:rFonts w:cstheme="minorHAnsi"/>
        </w:rPr>
        <w:t xml:space="preserve"> do sprzedaży</w:t>
      </w:r>
      <w:r w:rsidR="00060EF5">
        <w:rPr>
          <w:rFonts w:cstheme="minorHAnsi"/>
        </w:rPr>
        <w:t>/</w:t>
      </w:r>
      <w:r w:rsidR="0025101F" w:rsidRPr="003F5BE4">
        <w:rPr>
          <w:rFonts w:cstheme="minorHAnsi"/>
        </w:rPr>
        <w:t>wykup</w:t>
      </w:r>
      <w:r w:rsidR="00060EF5">
        <w:rPr>
          <w:rFonts w:cstheme="minorHAnsi"/>
        </w:rPr>
        <w:t>/</w:t>
      </w:r>
      <w:r w:rsidR="0025101F">
        <w:rPr>
          <w:rFonts w:cstheme="minorHAnsi"/>
        </w:rPr>
        <w:t>spłat</w:t>
      </w:r>
      <w:r w:rsidR="00A054BD">
        <w:rPr>
          <w:rFonts w:cstheme="minorHAnsi"/>
        </w:rPr>
        <w:t>ę</w:t>
      </w:r>
      <w:r w:rsidR="00060EF5">
        <w:rPr>
          <w:rFonts w:cstheme="minorHAnsi"/>
        </w:rPr>
        <w:t>/</w:t>
      </w:r>
      <w:r w:rsidR="0025101F" w:rsidRPr="003F5BE4">
        <w:rPr>
          <w:rFonts w:cstheme="minorHAnsi"/>
        </w:rPr>
        <w:t>odkup instrumentów zobowiązań kwalifikowalnych</w:t>
      </w:r>
      <w:r w:rsidR="0025101F">
        <w:rPr>
          <w:rFonts w:cstheme="minorHAnsi"/>
        </w:rPr>
        <w:t>)</w:t>
      </w:r>
      <w:r w:rsidR="0025101F" w:rsidRPr="003F5BE4">
        <w:rPr>
          <w:rFonts w:cstheme="minorHAnsi"/>
        </w:rPr>
        <w:t xml:space="preserve">. </w:t>
      </w:r>
    </w:p>
    <w:p w14:paraId="4AD289EA" w14:textId="25BF9794" w:rsidR="0025101F" w:rsidRPr="003F5BE4" w:rsidRDefault="00CE649B" w:rsidP="0025101F">
      <w:pPr>
        <w:jc w:val="both"/>
        <w:rPr>
          <w:rFonts w:cstheme="minorHAnsi"/>
        </w:rPr>
      </w:pPr>
      <w:r>
        <w:rPr>
          <w:rFonts w:cstheme="minorHAnsi"/>
        </w:rPr>
        <w:t xml:space="preserve">Jednocześnie poniżej wskazane informacje powinny być przekazane w </w:t>
      </w:r>
      <w:r w:rsidR="0025101F" w:rsidRPr="003F5BE4">
        <w:rPr>
          <w:rFonts w:cstheme="minorHAnsi"/>
        </w:rPr>
        <w:t>odniesieniu do zobowiązań kwalifikowalnych</w:t>
      </w:r>
      <w:r w:rsidR="0025101F">
        <w:rPr>
          <w:rFonts w:cstheme="minorHAnsi"/>
        </w:rPr>
        <w:t xml:space="preserve"> </w:t>
      </w:r>
      <w:r w:rsidR="00CC785C">
        <w:rPr>
          <w:rFonts w:cstheme="minorHAnsi"/>
        </w:rPr>
        <w:t>oraz</w:t>
      </w:r>
      <w:r w:rsidR="00CC785C" w:rsidRPr="003F5BE4">
        <w:rPr>
          <w:rFonts w:cstheme="minorHAnsi"/>
        </w:rPr>
        <w:t xml:space="preserve"> </w:t>
      </w:r>
      <w:r w:rsidR="009D45DD">
        <w:rPr>
          <w:rFonts w:cstheme="minorHAnsi"/>
        </w:rPr>
        <w:t>powinny zawierać</w:t>
      </w:r>
      <w:r w:rsidR="009D45DD" w:rsidRPr="003F5BE4">
        <w:rPr>
          <w:rFonts w:cstheme="minorHAnsi"/>
        </w:rPr>
        <w:t xml:space="preserve"> </w:t>
      </w:r>
      <w:r w:rsidR="0025101F" w:rsidRPr="003F5BE4">
        <w:rPr>
          <w:rFonts w:cstheme="minorHAnsi"/>
        </w:rPr>
        <w:t>wyszczególnienie następujących kwot, stosownie do przypadku:</w:t>
      </w:r>
    </w:p>
    <w:p w14:paraId="0A01BE76" w14:textId="77777777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t>zobowiązania, które kwalifikują się jako instrumenty zobowiązań kwalifikowalnych zgodnie z art. 72b ust. 2 CRR;</w:t>
      </w:r>
    </w:p>
    <w:p w14:paraId="7FF47048" w14:textId="7AE6C11D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t xml:space="preserve">zobowiązania, </w:t>
      </w:r>
      <w:r w:rsidR="0064670D">
        <w:rPr>
          <w:rFonts w:cstheme="minorHAnsi"/>
        </w:rPr>
        <w:t>które uznano</w:t>
      </w:r>
      <w:r w:rsidR="004A5572">
        <w:rPr>
          <w:rFonts w:cstheme="minorHAnsi"/>
        </w:rPr>
        <w:t xml:space="preserve"> </w:t>
      </w:r>
      <w:r w:rsidRPr="0025101F">
        <w:rPr>
          <w:rFonts w:cstheme="minorHAnsi"/>
        </w:rPr>
        <w:t>za instrumenty będące zobowiązaniami kwalifikowalnymi zgodnie z art. 72b ust. 3 lub 4 CRR;</w:t>
      </w:r>
    </w:p>
    <w:p w14:paraId="5F847BEE" w14:textId="5ECBDE6C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t xml:space="preserve">zobowiązania, które są uwzględnione w kwocie funduszy własnych i zobowiązań kwalifikowalnych podmiotów </w:t>
      </w:r>
      <w:r w:rsidR="007621CB">
        <w:rPr>
          <w:rFonts w:cstheme="minorHAnsi"/>
        </w:rPr>
        <w:t>podlegających przymusowej restrukturyzacji</w:t>
      </w:r>
      <w:r w:rsidRPr="0025101F">
        <w:rPr>
          <w:rFonts w:cstheme="minorHAnsi"/>
        </w:rPr>
        <w:t xml:space="preserve"> zgodnie z </w:t>
      </w:r>
      <w:r w:rsidR="00F31314">
        <w:rPr>
          <w:rFonts w:cstheme="minorHAnsi"/>
        </w:rPr>
        <w:t>art. 97a ust. 1 ustawy o BF</w:t>
      </w:r>
      <w:r w:rsidR="004A5572">
        <w:rPr>
          <w:rFonts w:cstheme="minorHAnsi"/>
        </w:rPr>
        <w:t>G</w:t>
      </w:r>
      <w:r w:rsidRPr="0025101F">
        <w:rPr>
          <w:rFonts w:cstheme="minorHAnsi"/>
        </w:rPr>
        <w:t>;</w:t>
      </w:r>
    </w:p>
    <w:p w14:paraId="78934A60" w14:textId="4E20BD3C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t>zobowiązania wynikające z instrumentów dłużnych, zawierających instrumenty pochodne, uwzględnione w kwocie funduszy własnych i zobowiązań kwalifikowalnych zgodnie z</w:t>
      </w:r>
      <w:r w:rsidR="00F31314">
        <w:rPr>
          <w:rFonts w:cstheme="minorHAnsi"/>
        </w:rPr>
        <w:t xml:space="preserve"> art. 97a ust. 2 i 3 ustawy o BFG </w:t>
      </w:r>
      <w:r w:rsidRPr="0025101F">
        <w:rPr>
          <w:rFonts w:cstheme="minorHAnsi"/>
        </w:rPr>
        <w:t>;</w:t>
      </w:r>
    </w:p>
    <w:p w14:paraId="45993AD0" w14:textId="20AED1FA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lastRenderedPageBreak/>
        <w:t xml:space="preserve">zobowiązania wyemitowane przez jednostkę zależną, które kwalifikują się do włączenia do skonsolidowanych </w:t>
      </w:r>
      <w:r w:rsidR="00247845" w:rsidRPr="0025101F">
        <w:rPr>
          <w:rFonts w:cstheme="minorHAnsi"/>
        </w:rPr>
        <w:t xml:space="preserve">instrumentów </w:t>
      </w:r>
      <w:r w:rsidRPr="0025101F">
        <w:rPr>
          <w:rFonts w:cstheme="minorHAnsi"/>
        </w:rPr>
        <w:t>zobowiązań kwalifikowalnych instytucji podlegającej</w:t>
      </w:r>
      <w:r w:rsidR="00247845">
        <w:rPr>
          <w:rFonts w:cstheme="minorHAnsi"/>
        </w:rPr>
        <w:t xml:space="preserve"> </w:t>
      </w:r>
      <w:r w:rsidRPr="0025101F">
        <w:rPr>
          <w:rFonts w:cstheme="minorHAnsi"/>
        </w:rPr>
        <w:t xml:space="preserve">art. 92a CRR, zgodnie z art. 88a CRR lub podmiotu </w:t>
      </w:r>
      <w:r w:rsidR="00247845">
        <w:rPr>
          <w:rFonts w:cstheme="minorHAnsi"/>
        </w:rPr>
        <w:t>podlegającego przymusowej restrukturyzacji</w:t>
      </w:r>
      <w:r w:rsidRPr="0025101F">
        <w:rPr>
          <w:rFonts w:cstheme="minorHAnsi"/>
        </w:rPr>
        <w:t xml:space="preserve"> zgodnie z </w:t>
      </w:r>
      <w:r w:rsidR="00F31314">
        <w:rPr>
          <w:rFonts w:cstheme="minorHAnsi"/>
        </w:rPr>
        <w:t xml:space="preserve">art. 97b ustawy o BFG </w:t>
      </w:r>
      <w:r w:rsidRPr="0025101F">
        <w:rPr>
          <w:rFonts w:cstheme="minorHAnsi"/>
        </w:rPr>
        <w:t>;</w:t>
      </w:r>
    </w:p>
    <w:p w14:paraId="227213CF" w14:textId="1E2E5070" w:rsidR="0025101F" w:rsidRPr="0025101F" w:rsidRDefault="0025101F" w:rsidP="002510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25101F">
        <w:rPr>
          <w:rFonts w:cstheme="minorHAnsi"/>
        </w:rPr>
        <w:t xml:space="preserve">instrumenty zobowiązań kwalifikowalnych, uwzględnione w celu spełnienia </w:t>
      </w:r>
      <w:r w:rsidR="00247845">
        <w:rPr>
          <w:rFonts w:cstheme="minorHAnsi"/>
        </w:rPr>
        <w:t xml:space="preserve"> wymogu </w:t>
      </w:r>
      <w:r w:rsidRPr="0025101F">
        <w:rPr>
          <w:rFonts w:cstheme="minorHAnsi"/>
        </w:rPr>
        <w:t xml:space="preserve">MREL w przypadku podmiotów, które same nie są podmiotami </w:t>
      </w:r>
      <w:r w:rsidR="00247845">
        <w:rPr>
          <w:rFonts w:cstheme="minorHAnsi"/>
        </w:rPr>
        <w:t>podlegającym przymusowej restrukturyzacji</w:t>
      </w:r>
      <w:r w:rsidRPr="0025101F">
        <w:rPr>
          <w:rFonts w:cstheme="minorHAnsi"/>
        </w:rPr>
        <w:t>, zgodnie z</w:t>
      </w:r>
      <w:r w:rsidR="004A5572">
        <w:rPr>
          <w:rFonts w:cstheme="minorHAnsi"/>
        </w:rPr>
        <w:t xml:space="preserve"> art. 98 ust. 2l ustawy o BFG</w:t>
      </w:r>
      <w:r w:rsidRPr="0025101F">
        <w:rPr>
          <w:rFonts w:cstheme="minorHAnsi"/>
        </w:rPr>
        <w:t>,</w:t>
      </w:r>
    </w:p>
    <w:p w14:paraId="34390796" w14:textId="7729EEF3" w:rsidR="008D3064" w:rsidRDefault="00B60C2E" w:rsidP="0025101F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25101F" w:rsidRPr="003F5BE4">
        <w:rPr>
          <w:rFonts w:cstheme="minorHAnsi"/>
        </w:rPr>
        <w:t xml:space="preserve">) </w:t>
      </w:r>
      <w:r w:rsidR="0025101F">
        <w:rPr>
          <w:rFonts w:cstheme="minorHAnsi"/>
        </w:rPr>
        <w:t xml:space="preserve">ocena wnioskodawcy dotycząca </w:t>
      </w:r>
      <w:r w:rsidR="0025101F" w:rsidRPr="003F5BE4">
        <w:rPr>
          <w:rFonts w:cstheme="minorHAnsi"/>
        </w:rPr>
        <w:t>wpływu dział</w:t>
      </w:r>
      <w:r w:rsidR="0025101F">
        <w:rPr>
          <w:rFonts w:cstheme="minorHAnsi"/>
        </w:rPr>
        <w:t>ania, które podmiot planuje</w:t>
      </w:r>
      <w:r w:rsidR="0025101F" w:rsidRPr="003F5BE4">
        <w:rPr>
          <w:rFonts w:cstheme="minorHAnsi"/>
        </w:rPr>
        <w:t xml:space="preserve"> podjąć zgodnie z art. 77 ust. 2 </w:t>
      </w:r>
      <w:r w:rsidR="0025101F">
        <w:rPr>
          <w:rFonts w:cstheme="minorHAnsi"/>
        </w:rPr>
        <w:t>CRR, oraz wszelkich</w:t>
      </w:r>
      <w:r w:rsidR="0025101F" w:rsidRPr="003F5BE4">
        <w:rPr>
          <w:rFonts w:cstheme="minorHAnsi"/>
        </w:rPr>
        <w:t xml:space="preserve"> </w:t>
      </w:r>
      <w:r w:rsidR="0025101F">
        <w:rPr>
          <w:rFonts w:cstheme="minorHAnsi"/>
        </w:rPr>
        <w:t>innych</w:t>
      </w:r>
      <w:r w:rsidR="0025101F" w:rsidRPr="003F5BE4">
        <w:rPr>
          <w:rFonts w:cstheme="minorHAnsi"/>
        </w:rPr>
        <w:t xml:space="preserve"> działa</w:t>
      </w:r>
      <w:r w:rsidR="00247845">
        <w:rPr>
          <w:rFonts w:cstheme="minorHAnsi"/>
        </w:rPr>
        <w:t>ń</w:t>
      </w:r>
      <w:r w:rsidR="0025101F" w:rsidRPr="003F5BE4">
        <w:rPr>
          <w:rFonts w:cstheme="minorHAnsi"/>
        </w:rPr>
        <w:t xml:space="preserve">, które </w:t>
      </w:r>
      <w:r w:rsidR="0025101F">
        <w:rPr>
          <w:rFonts w:cstheme="minorHAnsi"/>
        </w:rPr>
        <w:t>podmiot</w:t>
      </w:r>
      <w:r w:rsidR="0025101F" w:rsidRPr="003F5BE4">
        <w:rPr>
          <w:rFonts w:cstheme="minorHAnsi"/>
        </w:rPr>
        <w:t xml:space="preserve"> dodatkowo planuje podjąć w ciągu trzech </w:t>
      </w:r>
      <w:r w:rsidR="0025101F">
        <w:rPr>
          <w:rFonts w:cstheme="minorHAnsi"/>
        </w:rPr>
        <w:t>następujących lat, na spełnianie przez podmiot</w:t>
      </w:r>
      <w:r w:rsidR="008D3064">
        <w:rPr>
          <w:rFonts w:cstheme="minorHAnsi"/>
        </w:rPr>
        <w:t xml:space="preserve"> wymogu, o którym mowa w art. 92a CRR, wymogu MREL oraz wymogu połączonego bufora,</w:t>
      </w:r>
    </w:p>
    <w:p w14:paraId="68551CFE" w14:textId="6062DEE4" w:rsidR="0025101F" w:rsidRPr="003F5BE4" w:rsidRDefault="00B60C2E" w:rsidP="0025101F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25101F" w:rsidRPr="003F5BE4">
        <w:rPr>
          <w:rFonts w:cstheme="minorHAnsi"/>
        </w:rPr>
        <w:t xml:space="preserve">) jeżeli </w:t>
      </w:r>
      <w:r w:rsidR="0025101F">
        <w:rPr>
          <w:rFonts w:cstheme="minorHAnsi"/>
        </w:rPr>
        <w:t>podmiot</w:t>
      </w:r>
      <w:r w:rsidR="0025101F" w:rsidRPr="003F5BE4">
        <w:rPr>
          <w:rFonts w:cstheme="minorHAnsi"/>
        </w:rPr>
        <w:t xml:space="preserve"> </w:t>
      </w:r>
      <w:r w:rsidR="0025101F">
        <w:rPr>
          <w:rFonts w:cstheme="minorHAnsi"/>
        </w:rPr>
        <w:t>zamierza</w:t>
      </w:r>
      <w:r w:rsidR="0025101F" w:rsidRPr="003F5BE4">
        <w:rPr>
          <w:rFonts w:cstheme="minorHAnsi"/>
        </w:rPr>
        <w:t xml:space="preserve"> zastąpić instrumenty zobowiązań kwalifikowalnych zgodnie z art. 78a ust. 1 lit. a</w:t>
      </w:r>
      <w:r w:rsidR="0025101F">
        <w:rPr>
          <w:rFonts w:cstheme="minorHAnsi"/>
        </w:rPr>
        <w:t xml:space="preserve"> CRR, wniosek </w:t>
      </w:r>
      <w:r w:rsidR="009D45DD">
        <w:rPr>
          <w:rFonts w:cstheme="minorHAnsi"/>
        </w:rPr>
        <w:t xml:space="preserve">powinien </w:t>
      </w:r>
      <w:r w:rsidR="0025101F">
        <w:rPr>
          <w:rFonts w:cstheme="minorHAnsi"/>
        </w:rPr>
        <w:t>zawierać</w:t>
      </w:r>
      <w:r w:rsidR="0025101F" w:rsidRPr="003F5BE4">
        <w:rPr>
          <w:rFonts w:cstheme="minorHAnsi"/>
        </w:rPr>
        <w:t>:</w:t>
      </w:r>
    </w:p>
    <w:p w14:paraId="24461EE2" w14:textId="4FF42A65" w:rsidR="0025101F" w:rsidRPr="0025101F" w:rsidRDefault="0025101F" w:rsidP="0025101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5101F">
        <w:rPr>
          <w:rFonts w:cstheme="minorHAnsi"/>
        </w:rPr>
        <w:t>informacje na temat terminu zapadalności zastąpionych instrumentów zobowiązań kwalifikowalnych oraz terminu zapadalności zastępujących je instrumentów funduszy własnych lub zobowiązań kwalifikowalnych;</w:t>
      </w:r>
    </w:p>
    <w:p w14:paraId="311B7914" w14:textId="77777777" w:rsidR="0025101F" w:rsidRPr="0025101F" w:rsidRDefault="0025101F" w:rsidP="0025101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5101F">
        <w:rPr>
          <w:rFonts w:cstheme="minorHAnsi"/>
        </w:rPr>
        <w:t>pozycję w hierarchii wierzytelności w postępowaniu upadłościowym zastąpionych instrumentów zobowiązań kwalifikowalnych oraz zastępujących je instrumentów funduszy własnych lub zobowiązań kwalifikowalnych;</w:t>
      </w:r>
    </w:p>
    <w:p w14:paraId="0600B7DB" w14:textId="650B4A84" w:rsidR="0025101F" w:rsidRPr="0025101F" w:rsidRDefault="0025101F" w:rsidP="0025101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5101F">
        <w:rPr>
          <w:rFonts w:cstheme="minorHAnsi"/>
        </w:rPr>
        <w:t>informację o koszcie instrumentów funduszy własnych lub zobowiązań kwalifikowalnych zastępujących instrumenty zobowiązań kwalifikowalnych;</w:t>
      </w:r>
    </w:p>
    <w:p w14:paraId="6499F9E3" w14:textId="77777777" w:rsidR="0025101F" w:rsidRPr="0025101F" w:rsidRDefault="0025101F" w:rsidP="0025101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5101F">
        <w:rPr>
          <w:rFonts w:cstheme="minorHAnsi"/>
        </w:rPr>
        <w:t>planowany termin emisji instrumentów funduszy własnych lub zobowiązań kwalifikowalnych zastępujących instrument zobowiązań kwalifikowalnych, o którym mowa w art. 77 ust. 2 CRR;</w:t>
      </w:r>
    </w:p>
    <w:p w14:paraId="0214758D" w14:textId="77777777" w:rsidR="0025101F" w:rsidRPr="0025101F" w:rsidRDefault="0025101F" w:rsidP="0025101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5101F">
        <w:rPr>
          <w:rFonts w:cstheme="minorHAnsi"/>
        </w:rPr>
        <w:t>wpływ zastąpienia instrumentów na rentowność podmiotu, zgodnie z art. 78a ust. 1 lit. a CRR;</w:t>
      </w:r>
    </w:p>
    <w:p w14:paraId="65EE4DE7" w14:textId="2E549107" w:rsidR="0025101F" w:rsidRPr="003F5BE4" w:rsidRDefault="00B60C2E" w:rsidP="0025101F">
      <w:pPr>
        <w:jc w:val="both"/>
        <w:rPr>
          <w:rFonts w:cstheme="minorHAnsi"/>
        </w:rPr>
      </w:pPr>
      <w:r>
        <w:rPr>
          <w:rFonts w:cstheme="minorHAnsi"/>
        </w:rPr>
        <w:lastRenderedPageBreak/>
        <w:t>5</w:t>
      </w:r>
      <w:r w:rsidR="0025101F" w:rsidRPr="003F5BE4">
        <w:rPr>
          <w:rFonts w:cstheme="minorHAnsi"/>
        </w:rPr>
        <w:t xml:space="preserve">) </w:t>
      </w:r>
      <w:r w:rsidR="00CB5544" w:rsidRPr="00CB5544">
        <w:rPr>
          <w:rFonts w:cstheme="minorHAnsi"/>
        </w:rPr>
        <w:t>wyniki testu warunków skrajnych</w:t>
      </w:r>
      <w:r w:rsidR="00CB5544">
        <w:rPr>
          <w:rFonts w:cstheme="minorHAnsi"/>
        </w:rPr>
        <w:t>,</w:t>
      </w:r>
      <w:r w:rsidR="00CB5544" w:rsidRPr="00CB5544">
        <w:rPr>
          <w:rFonts w:cstheme="minorHAnsi"/>
        </w:rPr>
        <w:t xml:space="preserve"> przeprowadzonego w odniesieniu do głównych czynników ryzyka w celu oszacowania potencjalnych strat w ramach różnych scenariuszy</w:t>
      </w:r>
      <w:r w:rsidR="00CB5544">
        <w:rPr>
          <w:rFonts w:cstheme="minorHAnsi"/>
        </w:rPr>
        <w:t>,</w:t>
      </w:r>
      <w:r w:rsidR="00CB5544" w:rsidRPr="00CB5544">
        <w:rPr>
          <w:rFonts w:cstheme="minorHAnsi"/>
        </w:rPr>
        <w:t xml:space="preserve"> wraz z oceną ryzyka, na jakie instytucja jest lub może być narażona</w:t>
      </w:r>
      <w:r w:rsidR="0025101F" w:rsidRPr="003F5BE4">
        <w:rPr>
          <w:rFonts w:cstheme="minorHAnsi"/>
        </w:rPr>
        <w:t>;</w:t>
      </w:r>
    </w:p>
    <w:p w14:paraId="022F9328" w14:textId="74758B19" w:rsidR="0025101F" w:rsidRPr="00CB5544" w:rsidRDefault="00B60C2E" w:rsidP="00C23B1C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25101F" w:rsidRPr="003F5BE4">
        <w:rPr>
          <w:rFonts w:cstheme="minorHAnsi"/>
        </w:rPr>
        <w:t xml:space="preserve">) </w:t>
      </w:r>
      <w:r w:rsidR="0025101F">
        <w:rPr>
          <w:rFonts w:cstheme="minorHAnsi"/>
        </w:rPr>
        <w:t xml:space="preserve">w przypadku gdy zastosowanie znajdzie </w:t>
      </w:r>
      <w:r w:rsidR="0025101F" w:rsidRPr="003F5BE4">
        <w:rPr>
          <w:rFonts w:cstheme="minorHAnsi"/>
        </w:rPr>
        <w:t>art. 78a u</w:t>
      </w:r>
      <w:r w:rsidR="0025101F">
        <w:rPr>
          <w:rFonts w:cstheme="minorHAnsi"/>
        </w:rPr>
        <w:t xml:space="preserve">st. 1 lit. c CRR </w:t>
      </w:r>
      <w:r w:rsidR="00CB5544">
        <w:rPr>
          <w:rFonts w:cstheme="minorHAnsi"/>
        </w:rPr>
        <w:t>–</w:t>
      </w:r>
      <w:r w:rsidR="0025101F">
        <w:rPr>
          <w:rFonts w:cstheme="minorHAnsi"/>
        </w:rPr>
        <w:t xml:space="preserve"> wykazanie, czy</w:t>
      </w:r>
      <w:r w:rsidR="0025101F" w:rsidRPr="003F5BE4">
        <w:rPr>
          <w:rFonts w:cstheme="minorHAnsi"/>
        </w:rPr>
        <w:t xml:space="preserve"> częściowe lub całkowite zastąpienie instrumentów zobowiązań kwalifikowalnych instrumentami funduszy własnych jest niezbędne do zapewnienia zgodności z wymoga</w:t>
      </w:r>
      <w:r w:rsidR="0025101F">
        <w:rPr>
          <w:rFonts w:cstheme="minorHAnsi"/>
        </w:rPr>
        <w:t>mi w zakresie funduszy własnych.</w:t>
      </w:r>
    </w:p>
    <w:p w14:paraId="740EBECB" w14:textId="404AF11B" w:rsidR="002D4844" w:rsidRDefault="002D4844" w:rsidP="002D4844">
      <w:pPr>
        <w:jc w:val="both"/>
      </w:pPr>
      <w:r>
        <w:t xml:space="preserve">Jeżeli przedmiotem wniosku jest </w:t>
      </w:r>
      <w:r w:rsidR="002D52D8">
        <w:t xml:space="preserve">udzielenie </w:t>
      </w:r>
      <w:r>
        <w:t>uprzednie</w:t>
      </w:r>
      <w:r w:rsidR="002D52D8">
        <w:t>go</w:t>
      </w:r>
      <w:r>
        <w:t xml:space="preserve"> zezwoleni</w:t>
      </w:r>
      <w:r w:rsidR="002D52D8">
        <w:t>a</w:t>
      </w:r>
      <w:r w:rsidR="002D52D8" w:rsidRPr="002D52D8">
        <w:t xml:space="preserve"> </w:t>
      </w:r>
      <w:r w:rsidR="002D52D8">
        <w:t>ogólnego</w:t>
      </w:r>
      <w:r>
        <w:t xml:space="preserve">, na podstawie art. 78a ust. 1 akapit drugi CRR, należy ponadto wskazać </w:t>
      </w:r>
      <w:r w:rsidRPr="002D4844">
        <w:t xml:space="preserve">łączną kwotę instrumentów zobowiązań kwalifikowalnych, w tym łączną kwotę instrumentów zobowiązań kwalifikowalnych, które spełniają warunki </w:t>
      </w:r>
      <w:r w:rsidR="009D45DD">
        <w:t xml:space="preserve">wskazane w </w:t>
      </w:r>
      <w:r w:rsidRPr="002D4844">
        <w:t>art.</w:t>
      </w:r>
      <w:r w:rsidR="009D45DD">
        <w:t> </w:t>
      </w:r>
      <w:r w:rsidRPr="002D4844">
        <w:t xml:space="preserve">88a </w:t>
      </w:r>
      <w:r>
        <w:t>CRR</w:t>
      </w:r>
      <w:r w:rsidRPr="002D4844">
        <w:t xml:space="preserve"> lub </w:t>
      </w:r>
      <w:r w:rsidR="004A5572">
        <w:t>art. 97b ust. 1 ustawy o BFG</w:t>
      </w:r>
      <w:r w:rsidR="008653C2">
        <w:t xml:space="preserve"> utrzymywanych ponad określony poziom MREL.</w:t>
      </w:r>
    </w:p>
    <w:p w14:paraId="2C9BCC84" w14:textId="071E2519" w:rsidR="002D4844" w:rsidRPr="00030833" w:rsidRDefault="002D4844" w:rsidP="00030833">
      <w:pPr>
        <w:jc w:val="right"/>
        <w:rPr>
          <w:i/>
        </w:rPr>
      </w:pPr>
    </w:p>
    <w:p w14:paraId="2A81E68E" w14:textId="2AFA861A" w:rsidR="0056201B" w:rsidRPr="00030833" w:rsidRDefault="0056201B" w:rsidP="00030833">
      <w:pPr>
        <w:jc w:val="right"/>
        <w:rPr>
          <w:i/>
        </w:rPr>
      </w:pPr>
      <w:r>
        <w:rPr>
          <w:i/>
        </w:rPr>
        <w:t>/</w:t>
      </w:r>
      <w:r w:rsidRPr="00030833">
        <w:rPr>
          <w:i/>
        </w:rPr>
        <w:t>Podpis zgodnie z zasadami reprezentacji wnioskodawcy</w:t>
      </w:r>
      <w:r>
        <w:rPr>
          <w:i/>
        </w:rPr>
        <w:t>/</w:t>
      </w:r>
    </w:p>
    <w:p w14:paraId="06C5E4EE" w14:textId="77777777" w:rsidR="005244A6" w:rsidRDefault="005244A6"/>
    <w:p w14:paraId="39C3A34F" w14:textId="77777777" w:rsidR="00FB1B9C" w:rsidRDefault="000D6B3F">
      <w:r w:rsidRPr="000D6B3F">
        <w:rPr>
          <w:b/>
        </w:rPr>
        <w:t>Załączniki</w:t>
      </w:r>
      <w:r>
        <w:t>:</w:t>
      </w:r>
    </w:p>
    <w:p w14:paraId="215CDFE6" w14:textId="1DB0B5A5" w:rsidR="000D6B3F" w:rsidRDefault="00ED7B87">
      <w:r>
        <w:t xml:space="preserve">/ </w:t>
      </w:r>
      <w:r w:rsidRPr="00030833">
        <w:rPr>
          <w:i/>
        </w:rPr>
        <w:t>dokumenty, które instytucja uznaje za stosowne dołączyć</w:t>
      </w:r>
      <w:r>
        <w:t xml:space="preserve"> / </w:t>
      </w:r>
    </w:p>
    <w:p w14:paraId="38B1D8E6" w14:textId="77777777" w:rsidR="00FB1B9C" w:rsidRDefault="00FB1B9C" w:rsidP="00F710AE"/>
    <w:sectPr w:rsidR="00FB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3B6B" w14:textId="77777777" w:rsidR="00CE649B" w:rsidRDefault="00CE649B" w:rsidP="00FB1B9C">
      <w:pPr>
        <w:spacing w:after="0" w:line="240" w:lineRule="auto"/>
      </w:pPr>
      <w:r>
        <w:separator/>
      </w:r>
    </w:p>
  </w:endnote>
  <w:endnote w:type="continuationSeparator" w:id="0">
    <w:p w14:paraId="7E8CAF43" w14:textId="77777777" w:rsidR="00CE649B" w:rsidRDefault="00CE649B" w:rsidP="00FB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12D4" w14:textId="77777777" w:rsidR="00CE649B" w:rsidRDefault="00CE649B" w:rsidP="00FB1B9C">
      <w:pPr>
        <w:spacing w:after="0" w:line="240" w:lineRule="auto"/>
      </w:pPr>
      <w:r>
        <w:separator/>
      </w:r>
    </w:p>
  </w:footnote>
  <w:footnote w:type="continuationSeparator" w:id="0">
    <w:p w14:paraId="73EE96F1" w14:textId="77777777" w:rsidR="00CE649B" w:rsidRDefault="00CE649B" w:rsidP="00FB1B9C">
      <w:pPr>
        <w:spacing w:after="0" w:line="240" w:lineRule="auto"/>
      </w:pPr>
      <w:r>
        <w:continuationSeparator/>
      </w:r>
    </w:p>
  </w:footnote>
  <w:footnote w:id="1">
    <w:p w14:paraId="514EF6F2" w14:textId="746BD06F" w:rsidR="00CE649B" w:rsidRPr="00141D5C" w:rsidRDefault="00CE649B" w:rsidP="00FB1B9C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864785">
        <w:rPr>
          <w:rStyle w:val="Odwoanieprzypisudolnego"/>
          <w:rFonts w:asciiTheme="minorHAnsi" w:hAnsiTheme="minorHAnsi" w:cstheme="minorHAnsi"/>
        </w:rPr>
        <w:footnoteRef/>
      </w:r>
      <w:r w:rsidRPr="00864785">
        <w:rPr>
          <w:rFonts w:asciiTheme="minorHAnsi" w:hAnsiTheme="minorHAnsi" w:cstheme="minorHAnsi"/>
          <w:lang w:val="pl-PL"/>
        </w:rPr>
        <w:t xml:space="preserve"> Wypełnienie formularza nie gwarantuje uzyskania zezwolenia od Bankowego Funduszu Gwarancyjnego (BFG). W toku oceny </w:t>
      </w:r>
      <w:r>
        <w:rPr>
          <w:rFonts w:asciiTheme="minorHAnsi" w:hAnsiTheme="minorHAnsi" w:cstheme="minorHAnsi"/>
          <w:lang w:val="pl-PL"/>
        </w:rPr>
        <w:t xml:space="preserve">wniosku i </w:t>
      </w:r>
      <w:r w:rsidRPr="00864785">
        <w:rPr>
          <w:rFonts w:asciiTheme="minorHAnsi" w:hAnsiTheme="minorHAnsi" w:cstheme="minorHAnsi"/>
          <w:lang w:val="pl-PL"/>
        </w:rPr>
        <w:t xml:space="preserve">zasadności wydania </w:t>
      </w:r>
      <w:r>
        <w:rPr>
          <w:rFonts w:asciiTheme="minorHAnsi" w:hAnsiTheme="minorHAnsi" w:cstheme="minorHAnsi"/>
          <w:lang w:val="pl-PL"/>
        </w:rPr>
        <w:t xml:space="preserve">przedmiotowego </w:t>
      </w:r>
      <w:r w:rsidRPr="00864785">
        <w:rPr>
          <w:rFonts w:asciiTheme="minorHAnsi" w:hAnsiTheme="minorHAnsi" w:cstheme="minorHAnsi"/>
          <w:lang w:val="pl-PL"/>
        </w:rPr>
        <w:t xml:space="preserve">zezwolenia, </w:t>
      </w:r>
      <w:r>
        <w:rPr>
          <w:rFonts w:asciiTheme="minorHAnsi" w:hAnsiTheme="minorHAnsi" w:cstheme="minorHAnsi"/>
          <w:lang w:val="pl-PL"/>
        </w:rPr>
        <w:t>BFG</w:t>
      </w:r>
      <w:r w:rsidRPr="00864785">
        <w:rPr>
          <w:rFonts w:asciiTheme="minorHAnsi" w:hAnsiTheme="minorHAnsi" w:cstheme="minorHAnsi"/>
          <w:lang w:val="pl-PL"/>
        </w:rPr>
        <w:t xml:space="preserve"> może zażądać także innych informacji, uznanych przez </w:t>
      </w:r>
      <w:r>
        <w:rPr>
          <w:rFonts w:asciiTheme="minorHAnsi" w:hAnsiTheme="minorHAnsi" w:cstheme="minorHAnsi"/>
          <w:lang w:val="pl-PL"/>
        </w:rPr>
        <w:t>BFG</w:t>
      </w:r>
      <w:r w:rsidRPr="00864785">
        <w:rPr>
          <w:rFonts w:asciiTheme="minorHAnsi" w:hAnsiTheme="minorHAnsi" w:cstheme="minorHAnsi"/>
          <w:lang w:val="pl-PL"/>
        </w:rPr>
        <w:t xml:space="preserve"> za niezbędne do oceny</w:t>
      </w:r>
      <w:r>
        <w:rPr>
          <w:rFonts w:asciiTheme="minorHAnsi" w:hAnsiTheme="minorHAnsi" w:cstheme="minorHAnsi"/>
          <w:lang w:val="pl-PL"/>
        </w:rPr>
        <w:t xml:space="preserve"> wniosku</w:t>
      </w:r>
      <w:r w:rsidRPr="00864785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 xml:space="preserve"> W</w:t>
      </w:r>
      <w:r w:rsidRPr="00864785">
        <w:rPr>
          <w:rFonts w:asciiTheme="minorHAnsi" w:hAnsiTheme="minorHAnsi" w:cstheme="minorHAnsi"/>
          <w:lang w:val="pl-PL"/>
        </w:rPr>
        <w:t>ykorzystanie</w:t>
      </w:r>
      <w:r>
        <w:rPr>
          <w:rFonts w:asciiTheme="minorHAnsi" w:hAnsiTheme="minorHAnsi" w:cstheme="minorHAnsi"/>
          <w:lang w:val="pl-PL"/>
        </w:rPr>
        <w:t xml:space="preserve"> niniejszego formularza przez zainteresowanego </w:t>
      </w:r>
      <w:r w:rsidRPr="00864785">
        <w:rPr>
          <w:rFonts w:asciiTheme="minorHAnsi" w:hAnsiTheme="minorHAnsi" w:cstheme="minorHAnsi"/>
          <w:lang w:val="pl-PL"/>
        </w:rPr>
        <w:t xml:space="preserve">wnioskodawcę </w:t>
      </w:r>
      <w:r>
        <w:rPr>
          <w:rFonts w:asciiTheme="minorHAnsi" w:hAnsiTheme="minorHAnsi" w:cstheme="minorHAnsi"/>
          <w:lang w:val="pl-PL"/>
        </w:rPr>
        <w:t xml:space="preserve">nie jest </w:t>
      </w:r>
      <w:r w:rsidRPr="00864785">
        <w:rPr>
          <w:rFonts w:asciiTheme="minorHAnsi" w:hAnsiTheme="minorHAnsi" w:cstheme="minorHAnsi"/>
          <w:lang w:val="pl-PL"/>
        </w:rPr>
        <w:t>obowiązkowe</w:t>
      </w:r>
      <w:r>
        <w:rPr>
          <w:rFonts w:asciiTheme="minorHAnsi" w:hAnsiTheme="minorHAnsi" w:cstheme="minorHAnsi"/>
          <w:lang w:val="pl-PL"/>
        </w:rPr>
        <w:t xml:space="preserve">. Niniejszy formularz ma charakter wyłącznie informacyjny. Wnioskodawca może złożyć </w:t>
      </w:r>
      <w:r w:rsidRPr="00864785">
        <w:rPr>
          <w:rFonts w:asciiTheme="minorHAnsi" w:hAnsiTheme="minorHAnsi" w:cstheme="minorHAnsi"/>
          <w:lang w:val="pl-PL"/>
        </w:rPr>
        <w:t xml:space="preserve">do </w:t>
      </w:r>
      <w:r w:rsidRPr="00141D5C">
        <w:rPr>
          <w:rFonts w:asciiTheme="minorHAnsi" w:hAnsiTheme="minorHAnsi" w:cstheme="minorHAnsi"/>
          <w:lang w:val="pl-PL"/>
        </w:rPr>
        <w:t xml:space="preserve">BFG wniosek </w:t>
      </w:r>
      <w:r>
        <w:rPr>
          <w:rFonts w:asciiTheme="minorHAnsi" w:hAnsiTheme="minorHAnsi" w:cstheme="minorHAnsi"/>
          <w:lang w:val="pl-PL"/>
        </w:rPr>
        <w:t xml:space="preserve">także </w:t>
      </w:r>
      <w:r w:rsidRPr="00141D5C">
        <w:rPr>
          <w:rFonts w:asciiTheme="minorHAnsi" w:hAnsiTheme="minorHAnsi" w:cstheme="minorHAnsi"/>
          <w:lang w:val="pl-PL"/>
        </w:rPr>
        <w:t xml:space="preserve">w innej formie pisemnej. Treść wniosku musi jednak </w:t>
      </w:r>
      <w:r w:rsidRPr="0060176B">
        <w:rPr>
          <w:rFonts w:asciiTheme="minorHAnsi" w:hAnsiTheme="minorHAnsi" w:cstheme="minorHAnsi"/>
          <w:lang w:val="pl-PL"/>
        </w:rPr>
        <w:t xml:space="preserve">wskazywać na wolę uzyskania </w:t>
      </w:r>
      <w:r w:rsidRPr="003259F6">
        <w:rPr>
          <w:rFonts w:asciiTheme="minorHAnsi" w:hAnsiTheme="minorHAnsi" w:cstheme="minorHAnsi"/>
          <w:lang w:val="pl-PL"/>
        </w:rPr>
        <w:t>przez instytucję</w:t>
      </w:r>
      <w:r>
        <w:rPr>
          <w:rFonts w:asciiTheme="minorHAnsi" w:hAnsiTheme="minorHAnsi" w:cstheme="minorHAnsi"/>
          <w:lang w:val="pl-PL"/>
        </w:rPr>
        <w:t xml:space="preserve"> uprzedniego </w:t>
      </w:r>
      <w:r w:rsidRPr="003C4008">
        <w:rPr>
          <w:rFonts w:asciiTheme="minorHAnsi" w:hAnsiTheme="minorHAnsi" w:cstheme="minorHAnsi"/>
          <w:lang w:val="pl-PL"/>
        </w:rPr>
        <w:t>zezwolenia</w:t>
      </w:r>
      <w:r w:rsidR="008458D2">
        <w:rPr>
          <w:rFonts w:asciiTheme="minorHAnsi" w:hAnsiTheme="minorHAnsi" w:cstheme="minorHAnsi"/>
          <w:lang w:val="pl-PL"/>
        </w:rPr>
        <w:t>, o którym mowa w art. 78a ust. 1 akapit 1 CRR</w:t>
      </w:r>
      <w:r w:rsidRPr="003C400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albo uprzedniego zezwolenia ogólnego</w:t>
      </w:r>
      <w:r w:rsidR="008458D2">
        <w:rPr>
          <w:rFonts w:asciiTheme="minorHAnsi" w:hAnsiTheme="minorHAnsi" w:cstheme="minorHAnsi"/>
          <w:lang w:val="pl-PL"/>
        </w:rPr>
        <w:t>, o którym mowa w art. 78a ust. 1 akapit 2 CRR</w:t>
      </w:r>
      <w:r w:rsidRPr="003C4008">
        <w:rPr>
          <w:rFonts w:asciiTheme="minorHAnsi" w:hAnsiTheme="minorHAnsi" w:cstheme="minorHAnsi"/>
          <w:lang w:val="pl-PL"/>
        </w:rPr>
        <w:t xml:space="preserve"> .</w:t>
      </w:r>
    </w:p>
  </w:footnote>
  <w:footnote w:id="2">
    <w:p w14:paraId="5B80F26B" w14:textId="4226CDA0" w:rsidR="00CE649B" w:rsidRPr="005244A6" w:rsidRDefault="00CE649B" w:rsidP="005244A6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5244A6">
        <w:rPr>
          <w:rStyle w:val="Odwoanieprzypisudolnego"/>
          <w:rFonts w:asciiTheme="minorHAnsi" w:hAnsiTheme="minorHAnsi" w:cstheme="minorHAnsi"/>
        </w:rPr>
        <w:footnoteRef/>
      </w:r>
      <w:r w:rsidRPr="005244A6">
        <w:rPr>
          <w:rFonts w:asciiTheme="minorHAnsi" w:hAnsiTheme="minorHAnsi" w:cstheme="minorHAnsi"/>
          <w:lang w:val="pl-PL"/>
        </w:rPr>
        <w:t xml:space="preserve"> </w:t>
      </w:r>
      <w:r w:rsidR="003C4008">
        <w:rPr>
          <w:rFonts w:asciiTheme="minorHAnsi" w:hAnsiTheme="minorHAnsi" w:cstheme="minorHAnsi"/>
          <w:lang w:val="pl-PL"/>
        </w:rPr>
        <w:t>R</w:t>
      </w:r>
      <w:r w:rsidRPr="005244A6">
        <w:rPr>
          <w:rFonts w:asciiTheme="minorHAnsi" w:hAnsiTheme="minorHAnsi" w:cstheme="minorHAnsi"/>
          <w:lang w:val="pl-PL"/>
        </w:rPr>
        <w:t>ozporządzenie nr 575/2013 Parlamentu Europejskiego i Rady (UE) nr 575/2013 z dnia 26 czerwca 2013 r. w sprawie wymogów ostrożnościowych dla instytucji kredytowych i firm inwestycyjnych, zmieniające rozporządzenie (UE) nr 648/2012.</w:t>
      </w:r>
    </w:p>
  </w:footnote>
  <w:footnote w:id="3">
    <w:p w14:paraId="76221ADD" w14:textId="65AB4A31" w:rsidR="00CE649B" w:rsidRPr="005244A6" w:rsidRDefault="00CE649B" w:rsidP="005244A6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5244A6">
        <w:rPr>
          <w:rStyle w:val="Odwoanieprzypisudolnego"/>
          <w:rFonts w:asciiTheme="minorHAnsi" w:hAnsiTheme="minorHAnsi" w:cstheme="minorHAnsi"/>
        </w:rPr>
        <w:footnoteRef/>
      </w:r>
      <w:r w:rsidRPr="005244A6">
        <w:rPr>
          <w:rFonts w:asciiTheme="minorHAnsi" w:hAnsiTheme="minorHAnsi" w:cstheme="minorHAnsi"/>
          <w:lang w:val="pl-PL"/>
        </w:rPr>
        <w:t xml:space="preserve"> </w:t>
      </w:r>
      <w:r w:rsidR="003C4008">
        <w:rPr>
          <w:rFonts w:asciiTheme="minorHAnsi" w:hAnsiTheme="minorHAnsi" w:cstheme="minorHAnsi"/>
          <w:lang w:val="pl-PL"/>
        </w:rPr>
        <w:t>R</w:t>
      </w:r>
      <w:r w:rsidRPr="005244A6">
        <w:rPr>
          <w:rFonts w:asciiTheme="minorHAnsi" w:hAnsiTheme="minorHAnsi" w:cstheme="minorHAnsi"/>
          <w:lang w:val="pl-PL"/>
        </w:rPr>
        <w:t>ozporządzenie Parlamentu Europejskiego i Rady (UE) 2019/876 z dnia 20 maja 2019 r. zmieniające rozporządzenie (UE) nr 575/2013 w odniesieniu do wskaźnika dźwigni, wskaźnika stabilnego finansowania netto, wymogów w zakresie funduszy własnych i zobowiązań kwalifikowalnych, ryzyka kredytowego kontrahenta, ryzyka rynkowego, ekspozycji wobec kontrahentów centralnych, ekspozycji wobec przedsiębiorstw zbiorowego inwestowania, dużych ekspozycji, wymogów dotyczących sprawozdawczości i ujawniania informacji, a także rozporządzenie (UE) nr 648/2012.</w:t>
      </w:r>
    </w:p>
  </w:footnote>
  <w:footnote w:id="4">
    <w:p w14:paraId="5D648066" w14:textId="77777777" w:rsidR="00CE649B" w:rsidRPr="00864785" w:rsidRDefault="00CE649B">
      <w:pPr>
        <w:pStyle w:val="Tekstprzypisudolnego"/>
        <w:rPr>
          <w:rFonts w:asciiTheme="minorHAnsi" w:hAnsiTheme="minorHAnsi" w:cstheme="minorHAnsi"/>
          <w:lang w:val="pl-PL"/>
        </w:rPr>
      </w:pPr>
      <w:r w:rsidRPr="00864785">
        <w:rPr>
          <w:rStyle w:val="Odwoanieprzypisudolnego"/>
          <w:rFonts w:asciiTheme="minorHAnsi" w:hAnsiTheme="minorHAnsi" w:cstheme="minorHAnsi"/>
        </w:rPr>
        <w:footnoteRef/>
      </w:r>
      <w:r w:rsidRPr="00864785">
        <w:rPr>
          <w:rFonts w:asciiTheme="minorHAnsi" w:hAnsiTheme="minorHAnsi" w:cstheme="minorHAnsi"/>
          <w:lang w:val="pl-PL"/>
        </w:rPr>
        <w:t xml:space="preserve"> Niepotrzebne skreślić.</w:t>
      </w:r>
    </w:p>
  </w:footnote>
  <w:footnote w:id="5">
    <w:p w14:paraId="11B0DAF5" w14:textId="1DCF8672" w:rsidR="00CE649B" w:rsidRPr="005244A6" w:rsidRDefault="00CE64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244A6">
        <w:rPr>
          <w:lang w:val="pl-PL"/>
        </w:rPr>
        <w:t xml:space="preserve"> </w:t>
      </w:r>
      <w:r w:rsidRPr="00B140D7">
        <w:rPr>
          <w:rFonts w:asciiTheme="minorHAnsi" w:hAnsiTheme="minorHAnsi" w:cstheme="minorHAnsi"/>
          <w:lang w:val="pl-PL"/>
        </w:rPr>
        <w:t>Okres ten nie może być dłuższy niż rok</w:t>
      </w:r>
      <w:r>
        <w:rPr>
          <w:rFonts w:asciiTheme="minorHAnsi" w:hAnsiTheme="minorHAnsi" w:cstheme="minorHAnsi"/>
          <w:lang w:val="pl-PL"/>
        </w:rPr>
        <w:t>.</w:t>
      </w:r>
    </w:p>
  </w:footnote>
  <w:footnote w:id="6">
    <w:p w14:paraId="739EA4C4" w14:textId="77777777" w:rsidR="00CE649B" w:rsidRPr="00864785" w:rsidRDefault="00CE649B">
      <w:pPr>
        <w:pStyle w:val="Tekstprzypisudolnego"/>
        <w:rPr>
          <w:rFonts w:asciiTheme="minorHAnsi" w:hAnsiTheme="minorHAnsi" w:cstheme="minorHAnsi"/>
          <w:lang w:val="pl-PL"/>
        </w:rPr>
      </w:pPr>
      <w:r w:rsidRPr="00864785">
        <w:rPr>
          <w:rStyle w:val="Odwoanieprzypisudolnego"/>
          <w:rFonts w:asciiTheme="minorHAnsi" w:hAnsiTheme="minorHAnsi" w:cstheme="minorHAnsi"/>
        </w:rPr>
        <w:footnoteRef/>
      </w:r>
      <w:r w:rsidRPr="00864785">
        <w:rPr>
          <w:rFonts w:asciiTheme="minorHAnsi" w:hAnsiTheme="minorHAnsi" w:cstheme="minorHAnsi"/>
          <w:lang w:val="pl-PL"/>
        </w:rPr>
        <w:t xml:space="preserve"> Niepotrzebne skreślić.</w:t>
      </w:r>
    </w:p>
  </w:footnote>
  <w:footnote w:id="7">
    <w:p w14:paraId="42759AC7" w14:textId="4C782203" w:rsidR="00CE649B" w:rsidRPr="005244A6" w:rsidRDefault="00CE649B">
      <w:pPr>
        <w:pStyle w:val="Tekstprzypisudolnego"/>
        <w:rPr>
          <w:rFonts w:asciiTheme="minorHAnsi" w:hAnsiTheme="minorHAnsi" w:cstheme="minorHAnsi"/>
          <w:lang w:val="pl-PL"/>
        </w:rPr>
      </w:pPr>
      <w:r w:rsidRPr="005244A6">
        <w:rPr>
          <w:rStyle w:val="Odwoanieprzypisudolnego"/>
          <w:rFonts w:asciiTheme="minorHAnsi" w:hAnsiTheme="minorHAnsi" w:cstheme="minorHAnsi"/>
        </w:rPr>
        <w:footnoteRef/>
      </w:r>
      <w:r w:rsidRPr="005244A6">
        <w:rPr>
          <w:rFonts w:asciiTheme="minorHAnsi" w:hAnsiTheme="minorHAnsi" w:cstheme="minorHAnsi"/>
          <w:lang w:val="pl-PL"/>
        </w:rPr>
        <w:t xml:space="preserve"> Okres ten nie może być dłuższy niż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EF5"/>
    <w:multiLevelType w:val="hybridMultilevel"/>
    <w:tmpl w:val="FC6AF2AA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2226"/>
    <w:multiLevelType w:val="hybridMultilevel"/>
    <w:tmpl w:val="9B64EF88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30D6"/>
    <w:multiLevelType w:val="hybridMultilevel"/>
    <w:tmpl w:val="72384458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A362E"/>
    <w:multiLevelType w:val="hybridMultilevel"/>
    <w:tmpl w:val="91000EFC"/>
    <w:lvl w:ilvl="0" w:tplc="4BC63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9C"/>
    <w:rsid w:val="00030833"/>
    <w:rsid w:val="00060EF5"/>
    <w:rsid w:val="00085111"/>
    <w:rsid w:val="000D6B3F"/>
    <w:rsid w:val="00141D5C"/>
    <w:rsid w:val="001B2692"/>
    <w:rsid w:val="001C46EA"/>
    <w:rsid w:val="001E3D2D"/>
    <w:rsid w:val="00247845"/>
    <w:rsid w:val="0025101F"/>
    <w:rsid w:val="002A7593"/>
    <w:rsid w:val="002D4844"/>
    <w:rsid w:val="002D52D8"/>
    <w:rsid w:val="003C4008"/>
    <w:rsid w:val="004A5572"/>
    <w:rsid w:val="005244A6"/>
    <w:rsid w:val="00537B41"/>
    <w:rsid w:val="0056201B"/>
    <w:rsid w:val="005D166D"/>
    <w:rsid w:val="0060176B"/>
    <w:rsid w:val="0064670D"/>
    <w:rsid w:val="00715FAB"/>
    <w:rsid w:val="00741A20"/>
    <w:rsid w:val="007621CB"/>
    <w:rsid w:val="008458D2"/>
    <w:rsid w:val="00864785"/>
    <w:rsid w:val="008653C2"/>
    <w:rsid w:val="008D3064"/>
    <w:rsid w:val="009D45DD"/>
    <w:rsid w:val="00A054BD"/>
    <w:rsid w:val="00B44405"/>
    <w:rsid w:val="00B60C2E"/>
    <w:rsid w:val="00BC4B94"/>
    <w:rsid w:val="00C23B1C"/>
    <w:rsid w:val="00CB5544"/>
    <w:rsid w:val="00CC785C"/>
    <w:rsid w:val="00CE649B"/>
    <w:rsid w:val="00D416A3"/>
    <w:rsid w:val="00D947BC"/>
    <w:rsid w:val="00DC3302"/>
    <w:rsid w:val="00ED657A"/>
    <w:rsid w:val="00ED7B87"/>
    <w:rsid w:val="00F12A89"/>
    <w:rsid w:val="00F31314"/>
    <w:rsid w:val="00F710AE"/>
    <w:rsid w:val="00F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C138"/>
  <w15:chartTrackingRefBased/>
  <w15:docId w15:val="{559F4E0C-1CF5-4DF2-BFB0-747D9D57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B1B9C"/>
    <w:pPr>
      <w:keepNext/>
      <w:spacing w:after="0" w:line="360" w:lineRule="atLeas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1B9C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FB1B9C"/>
    <w:pPr>
      <w:spacing w:after="0" w:line="36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B1B9C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FB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1B9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FB1B9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B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0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1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10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10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01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B3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4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362B-51F2-429D-8EA3-16DB96CB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4708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Bartosz</dc:creator>
  <cp:keywords/>
  <dc:description/>
  <cp:lastModifiedBy>Aleksandra Placek</cp:lastModifiedBy>
  <cp:revision>2</cp:revision>
  <dcterms:created xsi:type="dcterms:W3CDTF">2022-01-17T10:55:00Z</dcterms:created>
  <dcterms:modified xsi:type="dcterms:W3CDTF">2022-01-17T10:55:00Z</dcterms:modified>
</cp:coreProperties>
</file>